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2D90" w14:textId="77777777" w:rsidR="00525971" w:rsidRPr="00525971" w:rsidRDefault="00525971" w:rsidP="00525971">
      <w:pPr>
        <w:jc w:val="center"/>
        <w:rPr>
          <w:b/>
          <w:bCs/>
          <w:sz w:val="28"/>
          <w:szCs w:val="28"/>
        </w:rPr>
      </w:pPr>
    </w:p>
    <w:p w14:paraId="585BCC2C" w14:textId="77777777" w:rsidR="00EA4886" w:rsidRDefault="00EA4886" w:rsidP="00525971">
      <w:pPr>
        <w:spacing w:before="120" w:line="276" w:lineRule="auto"/>
        <w:jc w:val="center"/>
        <w:rPr>
          <w:b/>
          <w:bCs/>
          <w:sz w:val="28"/>
          <w:szCs w:val="28"/>
        </w:rPr>
      </w:pPr>
    </w:p>
    <w:p w14:paraId="54B48C2D" w14:textId="77777777" w:rsidR="00525971" w:rsidRDefault="00525971" w:rsidP="00525971">
      <w:pPr>
        <w:spacing w:before="120" w:line="276" w:lineRule="auto"/>
        <w:jc w:val="center"/>
        <w:rPr>
          <w:b/>
          <w:bCs/>
          <w:sz w:val="28"/>
          <w:szCs w:val="28"/>
        </w:rPr>
      </w:pPr>
      <w:r w:rsidRPr="00525971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 xml:space="preserve"> </w:t>
      </w:r>
      <w:r w:rsidRPr="00525971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 </w:t>
      </w:r>
      <w:r w:rsidRPr="00525971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 xml:space="preserve"> </w:t>
      </w:r>
      <w:r w:rsidRPr="00525971">
        <w:rPr>
          <w:b/>
          <w:bCs/>
          <w:sz w:val="28"/>
          <w:szCs w:val="28"/>
        </w:rPr>
        <w:t>U</w:t>
      </w:r>
      <w:r>
        <w:rPr>
          <w:b/>
          <w:bCs/>
          <w:sz w:val="28"/>
          <w:szCs w:val="28"/>
        </w:rPr>
        <w:t xml:space="preserve"> </w:t>
      </w:r>
      <w:r w:rsidRPr="00525971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 xml:space="preserve"> </w:t>
      </w:r>
      <w:r w:rsidRPr="00525971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</w:t>
      </w:r>
      <w:r w:rsidRPr="00525971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 xml:space="preserve"> </w:t>
      </w:r>
      <w:r w:rsidRPr="00525971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</w:t>
      </w:r>
      <w:r w:rsidRPr="00525971">
        <w:rPr>
          <w:b/>
          <w:bCs/>
          <w:sz w:val="28"/>
          <w:szCs w:val="28"/>
        </w:rPr>
        <w:t>T</w:t>
      </w:r>
    </w:p>
    <w:p w14:paraId="2D726C2C" w14:textId="77777777" w:rsidR="00525971" w:rsidRDefault="00525971" w:rsidP="00525971">
      <w:pPr>
        <w:spacing w:before="120" w:line="276" w:lineRule="auto"/>
        <w:jc w:val="center"/>
        <w:rPr>
          <w:b/>
          <w:bCs/>
          <w:sz w:val="28"/>
          <w:szCs w:val="28"/>
        </w:rPr>
      </w:pPr>
    </w:p>
    <w:p w14:paraId="19AC94F3" w14:textId="77777777" w:rsidR="00912A05" w:rsidRDefault="00525971" w:rsidP="00525971">
      <w:pPr>
        <w:spacing w:before="120" w:line="276" w:lineRule="auto"/>
        <w:jc w:val="both"/>
      </w:pPr>
      <w:r>
        <w:t xml:space="preserve">În ședința organizată </w:t>
      </w:r>
      <w:r w:rsidR="009316C6">
        <w:t xml:space="preserve">în regim de </w:t>
      </w:r>
      <w:r>
        <w:t>urgen</w:t>
      </w:r>
      <w:r w:rsidR="009316C6">
        <w:t>ță</w:t>
      </w:r>
      <w:r>
        <w:t xml:space="preserve"> de Comisia Permanentă</w:t>
      </w:r>
      <w:r w:rsidR="009316C6">
        <w:t xml:space="preserve"> a Uniunii Naționale a Barourilor din România (U.N.B.R.)</w:t>
      </w:r>
      <w:r>
        <w:t xml:space="preserve"> cu decanii barourilor</w:t>
      </w:r>
      <w:r w:rsidR="009316C6">
        <w:t>,</w:t>
      </w:r>
      <w:r>
        <w:t xml:space="preserve"> s-a luat act de depășirea cu mai multe luni a termenului prevăzut </w:t>
      </w:r>
      <w:r w:rsidR="00BD45A2">
        <w:t>pentru achitarea onorariilor</w:t>
      </w:r>
      <w:r w:rsidR="009316C6" w:rsidRPr="009316C6">
        <w:t xml:space="preserve"> pentru prestațiile avocațiale din oficiu</w:t>
      </w:r>
      <w:r w:rsidR="00BD45A2">
        <w:t xml:space="preserve">, stabilit </w:t>
      </w:r>
      <w:r>
        <w:t>de art. 84 alin. (2) din Legea nr. 51/1995</w:t>
      </w:r>
      <w:r w:rsidR="00BD45A2">
        <w:t xml:space="preserve"> pentru organizarea și exercitarea profesiei de avocat</w:t>
      </w:r>
      <w:r>
        <w:t xml:space="preserve">, fiind înregistrate restanțe majore la unele barouri, chiar din luna iulie a.c.. </w:t>
      </w:r>
    </w:p>
    <w:p w14:paraId="0CDAF444" w14:textId="77777777" w:rsidR="00525971" w:rsidRDefault="00525971" w:rsidP="00525971">
      <w:pPr>
        <w:spacing w:before="120" w:line="276" w:lineRule="auto"/>
        <w:jc w:val="both"/>
      </w:pPr>
      <w:r>
        <w:t xml:space="preserve">S-a constatat că situația restanțelor nu este uniformă pe teritoriul României, </w:t>
      </w:r>
      <w:r w:rsidR="00912A05">
        <w:t xml:space="preserve">fiind diferențe majore între instanțele sau parchetele din județe diferite sau între instanțe și parchete din cadrul aceluiași județ. Situația alarmantă se înregistrează în special la Parchete, </w:t>
      </w:r>
      <w:r w:rsidR="00BD45A2">
        <w:t>u</w:t>
      </w:r>
      <w:r w:rsidR="00912A05">
        <w:t>nde au fost constatate restanțe de ordinul sutelor de mii de lei.</w:t>
      </w:r>
    </w:p>
    <w:p w14:paraId="46D97AD7" w14:textId="77777777" w:rsidR="00912A05" w:rsidRDefault="00912A05" w:rsidP="00525971">
      <w:pPr>
        <w:spacing w:before="120" w:line="276" w:lineRule="auto"/>
        <w:jc w:val="both"/>
      </w:pPr>
      <w:r>
        <w:t xml:space="preserve">În ciuda dialogului </w:t>
      </w:r>
      <w:r w:rsidR="009316C6">
        <w:t>constructiv</w:t>
      </w:r>
      <w:r>
        <w:t xml:space="preserve"> cu autoritățile în drept și a </w:t>
      </w:r>
      <w:r w:rsidR="009316C6">
        <w:t>soluțiilor anunțate de</w:t>
      </w:r>
      <w:r>
        <w:t xml:space="preserve"> conducer</w:t>
      </w:r>
      <w:r w:rsidR="009316C6">
        <w:t>ea</w:t>
      </w:r>
      <w:r>
        <w:t xml:space="preserve"> acestora</w:t>
      </w:r>
      <w:r w:rsidR="009316C6">
        <w:t>, precum</w:t>
      </w:r>
      <w:r>
        <w:t xml:space="preserve"> și a pașilor importanți realizați în această direcție, inclusiv prin adoptarea </w:t>
      </w:r>
      <w:r w:rsidR="008D7F77">
        <w:t xml:space="preserve">Hotărârii Guvernului nr. </w:t>
      </w:r>
      <w:r w:rsidR="00BD45A2">
        <w:t>1360</w:t>
      </w:r>
      <w:r w:rsidR="008D7F77">
        <w:t>/</w:t>
      </w:r>
      <w:r w:rsidR="00BD45A2" w:rsidRPr="00BD45A2">
        <w:t>9 noiembrie 2022 privind suplimentarea bugetului Ministerului Public pe anul 2022 din Fondul de rezervă bugetară la dispoziția Guvernului, prevăzut în bugetul de stat pe anul 2022</w:t>
      </w:r>
      <w:r w:rsidR="008D7F77">
        <w:t xml:space="preserve">, se constată că aceasta nu a fost pusă </w:t>
      </w:r>
      <w:r w:rsidR="009316C6">
        <w:t xml:space="preserve">încă </w:t>
      </w:r>
      <w:r w:rsidR="008D7F77">
        <w:t>în aplicare și situația nu s-a îmbunătățit.</w:t>
      </w:r>
    </w:p>
    <w:p w14:paraId="204A7568" w14:textId="77777777" w:rsidR="008D7F77" w:rsidRDefault="008D7F77" w:rsidP="00525971">
      <w:pPr>
        <w:spacing w:before="120" w:line="276" w:lineRule="auto"/>
        <w:jc w:val="both"/>
      </w:pPr>
      <w:r>
        <w:t xml:space="preserve">Situația existentă se răsfrânge asupra tuturor avocaților din oficiu, care au obligația impusă de lege să acorde serviciile avocațiale, fără a putea fi în măsură să refuze, dar fără </w:t>
      </w:r>
      <w:r w:rsidR="009316C6">
        <w:t xml:space="preserve">a </w:t>
      </w:r>
      <w:r>
        <w:t xml:space="preserve">beneficia de drepturile prevăzute de lege și </w:t>
      </w:r>
      <w:hyperlink r:id="rId6" w:history="1">
        <w:r w:rsidR="008927D3">
          <w:rPr>
            <w:rStyle w:val="Hyperlink"/>
          </w:rPr>
          <w:t>Protocolul tripartit încheiat între U.N.B.R., Ministerul Justiției și Ministerul Public</w:t>
        </w:r>
      </w:hyperlink>
      <w:r w:rsidR="00BD45A2">
        <w:t xml:space="preserve">. </w:t>
      </w:r>
    </w:p>
    <w:p w14:paraId="6386CE73" w14:textId="77777777" w:rsidR="00BD45A2" w:rsidRDefault="00BD45A2">
      <w:pPr>
        <w:spacing w:before="120" w:line="276" w:lineRule="auto"/>
        <w:jc w:val="both"/>
      </w:pPr>
      <w:r>
        <w:t xml:space="preserve">Prin aceasta se încalcă în primul rând drepturile avocaților </w:t>
      </w:r>
      <w:r w:rsidR="009316C6">
        <w:t xml:space="preserve">așa cum sunt </w:t>
      </w:r>
      <w:r>
        <w:t xml:space="preserve">prevăzute de art. 81 din Legea nr. 51/1995, dar </w:t>
      </w:r>
      <w:r w:rsidR="008927D3">
        <w:t>este afectat</w:t>
      </w:r>
      <w:r>
        <w:t xml:space="preserve"> și statutul avocatului de partener </w:t>
      </w:r>
      <w:r w:rsidR="005F55D7">
        <w:t xml:space="preserve">indispensabil </w:t>
      </w:r>
      <w:r>
        <w:t>al înfăptuirii justiției și dreptul la apărare garantat de Constituție și lege.</w:t>
      </w:r>
    </w:p>
    <w:p w14:paraId="45AB1068" w14:textId="77777777" w:rsidR="00AD7CF6" w:rsidRDefault="00AD7CF6">
      <w:pPr>
        <w:spacing w:before="120" w:line="276" w:lineRule="auto"/>
        <w:jc w:val="both"/>
      </w:pPr>
      <w:r>
        <w:t>Organele statutului cu atribuții în domeniu trebuie să se coordoneze la nivel central și local pentru a pune în aplicare prevederile Protocolului tripartit în materie în vederea asigurării resurselor financiare necesare și efectuării plăților conform prevederilor în vigoare</w:t>
      </w:r>
      <w:r w:rsidR="00BB2DEF">
        <w:t xml:space="preserve">, pentru a fi </w:t>
      </w:r>
      <w:r w:rsidR="00BB2DEF" w:rsidRPr="00BB2DEF">
        <w:t>respecta</w:t>
      </w:r>
      <w:r w:rsidR="00BB2DEF">
        <w:t xml:space="preserve">tă </w:t>
      </w:r>
      <w:r w:rsidR="00BB2DEF" w:rsidRPr="00BB2DEF">
        <w:t>munc</w:t>
      </w:r>
      <w:r w:rsidR="00BB2DEF">
        <w:t>a</w:t>
      </w:r>
      <w:r w:rsidR="00BB2DEF" w:rsidRPr="00BB2DEF">
        <w:t xml:space="preserve"> </w:t>
      </w:r>
      <w:r w:rsidR="00BB2DEF">
        <w:t xml:space="preserve">avocatului </w:t>
      </w:r>
      <w:r w:rsidR="00BB2DEF" w:rsidRPr="00BB2DEF">
        <w:t>depus</w:t>
      </w:r>
      <w:r w:rsidR="00BB2DEF">
        <w:t>ă</w:t>
      </w:r>
      <w:r w:rsidR="00BB2DEF" w:rsidRPr="00BB2DEF">
        <w:t xml:space="preserve"> </w:t>
      </w:r>
      <w:r w:rsidR="00BB2DEF">
        <w:t>î</w:t>
      </w:r>
      <w:r w:rsidR="00BB2DEF" w:rsidRPr="00BB2DEF">
        <w:t>n interesul clientului si al justiției</w:t>
      </w:r>
      <w:r w:rsidR="00BB2DEF">
        <w:t>.</w:t>
      </w:r>
    </w:p>
    <w:p w14:paraId="4EA13E92" w14:textId="77777777" w:rsidR="00AD7CF6" w:rsidRPr="00525971" w:rsidRDefault="009316C6">
      <w:pPr>
        <w:spacing w:before="120" w:line="276" w:lineRule="auto"/>
        <w:jc w:val="both"/>
      </w:pPr>
      <w:r>
        <w:t xml:space="preserve">S-a </w:t>
      </w:r>
      <w:r w:rsidR="00766EE2">
        <w:t>stabilit</w:t>
      </w:r>
      <w:r>
        <w:t xml:space="preserve"> ca, î</w:t>
      </w:r>
      <w:r w:rsidR="00AD7CF6">
        <w:t>n ședința Consiliului U.N.B.R. din 09-10 decembrie 2022</w:t>
      </w:r>
      <w:r>
        <w:t>,</w:t>
      </w:r>
      <w:r w:rsidR="00AD7CF6">
        <w:t xml:space="preserve"> </w:t>
      </w:r>
      <w:r>
        <w:t xml:space="preserve">în urma analizei evoluției situației, se va decide asupra </w:t>
      </w:r>
      <w:r w:rsidR="00AD7CF6">
        <w:t>măsuril</w:t>
      </w:r>
      <w:r>
        <w:t>or</w:t>
      </w:r>
      <w:r w:rsidR="00AD7CF6">
        <w:t xml:space="preserve"> necesare pentru a prezerva drepturile avocatului și de a se asigura că este respectat statutul acestuia.</w:t>
      </w:r>
    </w:p>
    <w:sectPr w:rsidR="00AD7CF6" w:rsidRPr="00525971" w:rsidSect="001339C0">
      <w:footerReference w:type="default" r:id="rId7"/>
      <w:headerReference w:type="first" r:id="rId8"/>
      <w:footerReference w:type="first" r:id="rId9"/>
      <w:pgSz w:w="11906" w:h="16838" w:code="9"/>
      <w:pgMar w:top="568" w:right="991" w:bottom="454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6F684" w14:textId="77777777" w:rsidR="00635548" w:rsidRDefault="00635548" w:rsidP="0078639A">
      <w:r>
        <w:separator/>
      </w:r>
    </w:p>
  </w:endnote>
  <w:endnote w:type="continuationSeparator" w:id="0">
    <w:p w14:paraId="3B710CFD" w14:textId="77777777" w:rsidR="00635548" w:rsidRDefault="00635548" w:rsidP="0078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an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5E7EE" w14:textId="77777777" w:rsidR="00E92F96" w:rsidRDefault="00E92F9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53B2">
      <w:rPr>
        <w:noProof/>
      </w:rPr>
      <w:t>2</w:t>
    </w:r>
    <w:r>
      <w:fldChar w:fldCharType="end"/>
    </w:r>
  </w:p>
  <w:p w14:paraId="6F5F6110" w14:textId="77777777" w:rsidR="00E92F96" w:rsidRDefault="00E92F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64F9A" w14:textId="77777777" w:rsidR="00AA4A2F" w:rsidRPr="00047A64" w:rsidRDefault="00AA4A2F" w:rsidP="00AA4A2F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047A64">
      <w:rPr>
        <w:rFonts w:ascii="Calibri Light" w:hAnsi="Calibri Light"/>
        <w:color w:val="800000"/>
        <w:sz w:val="20"/>
        <w:szCs w:val="20"/>
      </w:rPr>
      <w:t>Palatul de Justiție, București, Sector 5, Splaiul Independenței nr. 5, Cod poștal 050091</w:t>
    </w:r>
  </w:p>
  <w:p w14:paraId="05E8A2E3" w14:textId="77777777" w:rsidR="00AA4A2F" w:rsidRPr="00047A64" w:rsidRDefault="00AA4A2F" w:rsidP="00AA4A2F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047A64">
      <w:rPr>
        <w:rFonts w:ascii="Calibri Light" w:hAnsi="Calibri Light"/>
        <w:color w:val="800000"/>
        <w:sz w:val="20"/>
        <w:szCs w:val="20"/>
      </w:rPr>
      <w:t>Tel: (+4) 021/316-0739; 316-0740; 313-4875; Fax: (+4) 021/313-4880;</w:t>
    </w:r>
  </w:p>
  <w:p w14:paraId="48BD8D12" w14:textId="77777777" w:rsidR="00AA4A2F" w:rsidRDefault="00AA4A2F" w:rsidP="00AA4A2F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047A64">
      <w:rPr>
        <w:rFonts w:ascii="Calibri Light" w:hAnsi="Calibri Light"/>
        <w:color w:val="800000"/>
        <w:sz w:val="20"/>
        <w:szCs w:val="20"/>
      </w:rPr>
      <w:t>E-mail: unbr@unbr.ro; Website: www.unbr.ro</w:t>
    </w:r>
  </w:p>
  <w:p w14:paraId="2AD9C4A1" w14:textId="77777777" w:rsidR="00AA4A2F" w:rsidRPr="006101BC" w:rsidRDefault="00AA4A2F" w:rsidP="00AA4A2F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6101BC">
      <w:rPr>
        <w:rFonts w:ascii="Calibri Light" w:hAnsi="Calibri Light"/>
        <w:color w:val="800000"/>
        <w:sz w:val="20"/>
        <w:szCs w:val="20"/>
      </w:rPr>
      <w:t>U.N.B.R. este operator de date personale înregistrat sub nr.: 34779, 34781, 34782, 34783.</w:t>
    </w:r>
  </w:p>
  <w:p w14:paraId="7F592D33" w14:textId="77777777" w:rsidR="00E92F96" w:rsidRDefault="00E92F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A4A3F" w14:textId="77777777" w:rsidR="00635548" w:rsidRDefault="00635548" w:rsidP="0078639A">
      <w:r>
        <w:separator/>
      </w:r>
    </w:p>
  </w:footnote>
  <w:footnote w:type="continuationSeparator" w:id="0">
    <w:p w14:paraId="0EE84EDF" w14:textId="77777777" w:rsidR="00635548" w:rsidRDefault="00635548" w:rsidP="00786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321A" w14:textId="77777777" w:rsidR="004058B6" w:rsidRDefault="00E92F96" w:rsidP="00E92F96">
    <w:pPr>
      <w:pStyle w:val="Header"/>
      <w:tabs>
        <w:tab w:val="clear" w:pos="9406"/>
        <w:tab w:val="right" w:pos="9072"/>
      </w:tabs>
    </w:pPr>
    <w:r w:rsidRPr="00985B5E">
      <w:rPr>
        <w:noProof/>
        <w:lang w:val="en-US"/>
      </w:rPr>
      <w:pict w14:anchorId="5757ED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454.2pt;height:94.8pt;visibility:visible">
          <v:imagedata r:id="rId1" o:title="Antet_SUS_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639A"/>
    <w:rsid w:val="00024400"/>
    <w:rsid w:val="00035291"/>
    <w:rsid w:val="0004290A"/>
    <w:rsid w:val="00063490"/>
    <w:rsid w:val="0007736B"/>
    <w:rsid w:val="0008259F"/>
    <w:rsid w:val="000A2141"/>
    <w:rsid w:val="000A24B6"/>
    <w:rsid w:val="000B1DC6"/>
    <w:rsid w:val="000B6ABC"/>
    <w:rsid w:val="00104CC5"/>
    <w:rsid w:val="00123439"/>
    <w:rsid w:val="001339C0"/>
    <w:rsid w:val="00143B81"/>
    <w:rsid w:val="00146B35"/>
    <w:rsid w:val="0015180E"/>
    <w:rsid w:val="00165115"/>
    <w:rsid w:val="001732CB"/>
    <w:rsid w:val="00196F8B"/>
    <w:rsid w:val="001970DB"/>
    <w:rsid w:val="001B5898"/>
    <w:rsid w:val="001C636D"/>
    <w:rsid w:val="001E08A0"/>
    <w:rsid w:val="0021544D"/>
    <w:rsid w:val="002322D1"/>
    <w:rsid w:val="00236874"/>
    <w:rsid w:val="00241F35"/>
    <w:rsid w:val="002508C2"/>
    <w:rsid w:val="00266E4C"/>
    <w:rsid w:val="00273DAA"/>
    <w:rsid w:val="002855B4"/>
    <w:rsid w:val="00285BB4"/>
    <w:rsid w:val="00294783"/>
    <w:rsid w:val="002D2FB6"/>
    <w:rsid w:val="002D4F90"/>
    <w:rsid w:val="0032527F"/>
    <w:rsid w:val="003370C9"/>
    <w:rsid w:val="00343357"/>
    <w:rsid w:val="00352AD0"/>
    <w:rsid w:val="00381706"/>
    <w:rsid w:val="003945D6"/>
    <w:rsid w:val="00401D93"/>
    <w:rsid w:val="004058B6"/>
    <w:rsid w:val="00407BEB"/>
    <w:rsid w:val="0041203B"/>
    <w:rsid w:val="00422C9B"/>
    <w:rsid w:val="00452E25"/>
    <w:rsid w:val="00456A0A"/>
    <w:rsid w:val="00474D78"/>
    <w:rsid w:val="004764B6"/>
    <w:rsid w:val="00497C6A"/>
    <w:rsid w:val="004A3A17"/>
    <w:rsid w:val="004B0114"/>
    <w:rsid w:val="004D231C"/>
    <w:rsid w:val="00525971"/>
    <w:rsid w:val="00534249"/>
    <w:rsid w:val="00575263"/>
    <w:rsid w:val="00576F75"/>
    <w:rsid w:val="00590D1C"/>
    <w:rsid w:val="005912FD"/>
    <w:rsid w:val="005A2BC5"/>
    <w:rsid w:val="005C61D3"/>
    <w:rsid w:val="005D097E"/>
    <w:rsid w:val="005D568F"/>
    <w:rsid w:val="005D63FE"/>
    <w:rsid w:val="005F55D7"/>
    <w:rsid w:val="00601C0B"/>
    <w:rsid w:val="006324CF"/>
    <w:rsid w:val="00635548"/>
    <w:rsid w:val="00654017"/>
    <w:rsid w:val="006759A3"/>
    <w:rsid w:val="006769F8"/>
    <w:rsid w:val="006A5B15"/>
    <w:rsid w:val="006A6D51"/>
    <w:rsid w:val="006B335C"/>
    <w:rsid w:val="006D5D4D"/>
    <w:rsid w:val="006D672B"/>
    <w:rsid w:val="006E5829"/>
    <w:rsid w:val="006E5A5C"/>
    <w:rsid w:val="006F34AB"/>
    <w:rsid w:val="006F4079"/>
    <w:rsid w:val="00713D43"/>
    <w:rsid w:val="007308F4"/>
    <w:rsid w:val="00731697"/>
    <w:rsid w:val="00743A3D"/>
    <w:rsid w:val="00752391"/>
    <w:rsid w:val="00752A7B"/>
    <w:rsid w:val="0075596B"/>
    <w:rsid w:val="007575CC"/>
    <w:rsid w:val="00766EE2"/>
    <w:rsid w:val="0078639A"/>
    <w:rsid w:val="007863D7"/>
    <w:rsid w:val="0079287D"/>
    <w:rsid w:val="0079499F"/>
    <w:rsid w:val="007D1743"/>
    <w:rsid w:val="0080594A"/>
    <w:rsid w:val="00805E92"/>
    <w:rsid w:val="00806AE7"/>
    <w:rsid w:val="0080717F"/>
    <w:rsid w:val="0082054B"/>
    <w:rsid w:val="00824452"/>
    <w:rsid w:val="008516C8"/>
    <w:rsid w:val="00862E4E"/>
    <w:rsid w:val="0086534E"/>
    <w:rsid w:val="00870854"/>
    <w:rsid w:val="00876201"/>
    <w:rsid w:val="00883C2F"/>
    <w:rsid w:val="008927D3"/>
    <w:rsid w:val="008938C6"/>
    <w:rsid w:val="008B71E2"/>
    <w:rsid w:val="008C2052"/>
    <w:rsid w:val="008D7F77"/>
    <w:rsid w:val="00900D0F"/>
    <w:rsid w:val="00904FA4"/>
    <w:rsid w:val="00910E20"/>
    <w:rsid w:val="00912A05"/>
    <w:rsid w:val="0091417E"/>
    <w:rsid w:val="00927325"/>
    <w:rsid w:val="009316C6"/>
    <w:rsid w:val="00954231"/>
    <w:rsid w:val="00956E03"/>
    <w:rsid w:val="00970F32"/>
    <w:rsid w:val="00983079"/>
    <w:rsid w:val="00985B5E"/>
    <w:rsid w:val="00990029"/>
    <w:rsid w:val="00993FFC"/>
    <w:rsid w:val="009A7499"/>
    <w:rsid w:val="009B2018"/>
    <w:rsid w:val="009D0666"/>
    <w:rsid w:val="009E5B03"/>
    <w:rsid w:val="009E782D"/>
    <w:rsid w:val="009F4EBC"/>
    <w:rsid w:val="009F53B2"/>
    <w:rsid w:val="00A02672"/>
    <w:rsid w:val="00A10D78"/>
    <w:rsid w:val="00A16388"/>
    <w:rsid w:val="00A36EBF"/>
    <w:rsid w:val="00A449E5"/>
    <w:rsid w:val="00A555A9"/>
    <w:rsid w:val="00A61B86"/>
    <w:rsid w:val="00A75C3A"/>
    <w:rsid w:val="00A82383"/>
    <w:rsid w:val="00A90553"/>
    <w:rsid w:val="00A94754"/>
    <w:rsid w:val="00A96862"/>
    <w:rsid w:val="00AA4A2F"/>
    <w:rsid w:val="00AB4118"/>
    <w:rsid w:val="00AD0024"/>
    <w:rsid w:val="00AD7CF6"/>
    <w:rsid w:val="00AF28AA"/>
    <w:rsid w:val="00B66361"/>
    <w:rsid w:val="00B826BF"/>
    <w:rsid w:val="00B85FB2"/>
    <w:rsid w:val="00BA587C"/>
    <w:rsid w:val="00BB2DEF"/>
    <w:rsid w:val="00BC1CD5"/>
    <w:rsid w:val="00BC30A8"/>
    <w:rsid w:val="00BD45A2"/>
    <w:rsid w:val="00BE3CE8"/>
    <w:rsid w:val="00BE41F8"/>
    <w:rsid w:val="00BF4D22"/>
    <w:rsid w:val="00C26CEB"/>
    <w:rsid w:val="00C31650"/>
    <w:rsid w:val="00C32F7F"/>
    <w:rsid w:val="00C37393"/>
    <w:rsid w:val="00C44AD5"/>
    <w:rsid w:val="00C7445F"/>
    <w:rsid w:val="00C84B78"/>
    <w:rsid w:val="00C9045D"/>
    <w:rsid w:val="00CA0FB4"/>
    <w:rsid w:val="00CB5832"/>
    <w:rsid w:val="00CF4B41"/>
    <w:rsid w:val="00D03891"/>
    <w:rsid w:val="00D05998"/>
    <w:rsid w:val="00D12D83"/>
    <w:rsid w:val="00D16A0C"/>
    <w:rsid w:val="00D2553F"/>
    <w:rsid w:val="00D350EB"/>
    <w:rsid w:val="00D41C47"/>
    <w:rsid w:val="00D6548E"/>
    <w:rsid w:val="00D74C27"/>
    <w:rsid w:val="00D83493"/>
    <w:rsid w:val="00D90696"/>
    <w:rsid w:val="00DC6C8B"/>
    <w:rsid w:val="00DE16F0"/>
    <w:rsid w:val="00DE74FA"/>
    <w:rsid w:val="00E20139"/>
    <w:rsid w:val="00E27D4F"/>
    <w:rsid w:val="00E6304B"/>
    <w:rsid w:val="00E92F96"/>
    <w:rsid w:val="00EA4886"/>
    <w:rsid w:val="00EC0602"/>
    <w:rsid w:val="00ED156E"/>
    <w:rsid w:val="00EE3ABD"/>
    <w:rsid w:val="00F02B85"/>
    <w:rsid w:val="00F050AA"/>
    <w:rsid w:val="00F45723"/>
    <w:rsid w:val="00F529DB"/>
    <w:rsid w:val="00F54833"/>
    <w:rsid w:val="00F612FC"/>
    <w:rsid w:val="00F72398"/>
    <w:rsid w:val="00F7485C"/>
    <w:rsid w:val="00F81726"/>
    <w:rsid w:val="00F902C6"/>
    <w:rsid w:val="00F95081"/>
    <w:rsid w:val="00F951E1"/>
    <w:rsid w:val="00FA7409"/>
    <w:rsid w:val="00FB258F"/>
    <w:rsid w:val="00FB37D7"/>
    <w:rsid w:val="00FB66C5"/>
    <w:rsid w:val="00FC309D"/>
    <w:rsid w:val="00FD6B44"/>
    <w:rsid w:val="00FE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920B8A1"/>
  <w15:chartTrackingRefBased/>
  <w15:docId w15:val="{6568251C-68A8-407F-9F1D-CB9EEEA0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5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8259F"/>
    <w:pPr>
      <w:keepNext/>
      <w:jc w:val="center"/>
      <w:outlineLvl w:val="0"/>
    </w:pPr>
    <w:rPr>
      <w:rFonts w:eastAsia="Times New Roman"/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1732CB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8259F"/>
    <w:rPr>
      <w:rFonts w:ascii="Tahoma" w:eastAsia="Times New Roman" w:hAnsi="Tahoma" w:cs="Tahoma"/>
      <w:b/>
      <w:bCs/>
      <w:sz w:val="24"/>
      <w:szCs w:val="24"/>
      <w:u w:val="single"/>
      <w:lang w:eastAsia="zh-CN"/>
    </w:rPr>
  </w:style>
  <w:style w:type="table" w:styleId="TableGrid">
    <w:name w:val="Table Grid"/>
    <w:basedOn w:val="TableNormal"/>
    <w:rsid w:val="0008259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863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78639A"/>
  </w:style>
  <w:style w:type="paragraph" w:styleId="Footer">
    <w:name w:val="footer"/>
    <w:basedOn w:val="Normal"/>
    <w:link w:val="FooterChar"/>
    <w:uiPriority w:val="99"/>
    <w:rsid w:val="007863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39A"/>
  </w:style>
  <w:style w:type="paragraph" w:styleId="BalloonText">
    <w:name w:val="Balloon Text"/>
    <w:basedOn w:val="Normal"/>
    <w:link w:val="BalloonTextChar"/>
    <w:rsid w:val="00786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8639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24400"/>
    <w:pPr>
      <w:spacing w:after="120"/>
    </w:pPr>
    <w:rPr>
      <w:rFonts w:ascii="Avant" w:eastAsia="Times New Roman" w:hAnsi="Avant"/>
      <w:szCs w:val="20"/>
    </w:rPr>
  </w:style>
  <w:style w:type="paragraph" w:styleId="List">
    <w:name w:val="List"/>
    <w:basedOn w:val="Normal"/>
    <w:rsid w:val="00024400"/>
    <w:pPr>
      <w:ind w:left="283" w:hanging="283"/>
    </w:pPr>
    <w:rPr>
      <w:rFonts w:ascii="Avant" w:eastAsia="Times New Roman" w:hAnsi="Avant"/>
      <w:szCs w:val="20"/>
    </w:rPr>
  </w:style>
  <w:style w:type="character" w:customStyle="1" w:styleId="Bodytext4">
    <w:name w:val="Body text (4)_"/>
    <w:link w:val="Bodytext40"/>
    <w:locked/>
    <w:rsid w:val="00C32F7F"/>
    <w:rPr>
      <w:rFonts w:ascii="Arial" w:hAnsi="Arial"/>
      <w:b/>
      <w:bCs/>
      <w:shd w:val="clear" w:color="auto" w:fill="FFFFFF"/>
      <w:lang w:bidi="ar-SA"/>
    </w:rPr>
  </w:style>
  <w:style w:type="paragraph" w:customStyle="1" w:styleId="Bodytext40">
    <w:name w:val="Body text (4)"/>
    <w:basedOn w:val="Normal"/>
    <w:link w:val="Bodytext4"/>
    <w:rsid w:val="00C32F7F"/>
    <w:pPr>
      <w:widowControl w:val="0"/>
      <w:shd w:val="clear" w:color="auto" w:fill="FFFFFF"/>
      <w:spacing w:before="960" w:line="274" w:lineRule="exact"/>
      <w:jc w:val="center"/>
    </w:pPr>
    <w:rPr>
      <w:b/>
      <w:bCs/>
      <w:sz w:val="20"/>
      <w:szCs w:val="20"/>
      <w:shd w:val="clear" w:color="auto" w:fill="FFFFFF"/>
      <w:lang w:val="x-none" w:eastAsia="x-none"/>
    </w:rPr>
  </w:style>
  <w:style w:type="character" w:customStyle="1" w:styleId="Heading3Char">
    <w:name w:val="Heading 3 Char"/>
    <w:link w:val="Heading3"/>
    <w:rsid w:val="001732CB"/>
    <w:rPr>
      <w:rFonts w:eastAsia="Times New Roman" w:cs="Arial"/>
      <w:b/>
      <w:bCs/>
      <w:sz w:val="26"/>
      <w:szCs w:val="26"/>
      <w:lang w:eastAsia="en-US"/>
    </w:rPr>
  </w:style>
  <w:style w:type="character" w:customStyle="1" w:styleId="BodyTextChar">
    <w:name w:val="Body Text Char"/>
    <w:link w:val="BodyText"/>
    <w:rsid w:val="00F81726"/>
    <w:rPr>
      <w:rFonts w:ascii="Avant" w:eastAsia="Times New Roman" w:hAnsi="Avant"/>
      <w:sz w:val="24"/>
      <w:lang w:eastAsia="en-US"/>
    </w:rPr>
  </w:style>
  <w:style w:type="character" w:styleId="Hyperlink">
    <w:name w:val="Hyperlink"/>
    <w:uiPriority w:val="99"/>
    <w:unhideWhenUsed/>
    <w:rsid w:val="002D2FB6"/>
    <w:rPr>
      <w:color w:val="0000FF"/>
      <w:u w:val="single"/>
    </w:rPr>
  </w:style>
  <w:style w:type="character" w:styleId="FollowedHyperlink">
    <w:name w:val="FollowedHyperlink"/>
    <w:rsid w:val="002D2FB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1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br.ro/wp-content/uploads/2022/06/173-AUT-2022_Protocol_stabilire_onorarii_Oficiu_MJ_MP_UNBR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Grizli777</Company>
  <LinksUpToDate>false</LinksUpToDate>
  <CharactersWithSpaces>2635</CharactersWithSpaces>
  <SharedDoc>false</SharedDoc>
  <HLinks>
    <vt:vector size="6" baseType="variant">
      <vt:variant>
        <vt:i4>7929867</vt:i4>
      </vt:variant>
      <vt:variant>
        <vt:i4>0</vt:i4>
      </vt:variant>
      <vt:variant>
        <vt:i4>0</vt:i4>
      </vt:variant>
      <vt:variant>
        <vt:i4>5</vt:i4>
      </vt:variant>
      <vt:variant>
        <vt:lpwstr>https://www.unbr.ro/wp-content/uploads/2022/06/173-AUT-2022_Protocol_stabilire_onorarii_Oficiu_MJ_MP_UNBR.pdf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Sandu Gh.</dc:creator>
  <cp:keywords/>
  <cp:lastModifiedBy>Sandu Gherasim</cp:lastModifiedBy>
  <cp:revision>2</cp:revision>
  <cp:lastPrinted>2022-12-06T08:26:00Z</cp:lastPrinted>
  <dcterms:created xsi:type="dcterms:W3CDTF">2022-12-06T18:27:00Z</dcterms:created>
  <dcterms:modified xsi:type="dcterms:W3CDTF">2022-12-06T18:27:00Z</dcterms:modified>
</cp:coreProperties>
</file>